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6203" w14:textId="77777777" w:rsidR="00256CA6" w:rsidRDefault="00256CA6" w:rsidP="00256CA6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933B92E" wp14:editId="6053E9A8">
            <wp:extent cx="1079500" cy="698500"/>
            <wp:effectExtent l="25400" t="0" r="0" b="0"/>
            <wp:docPr id="2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DCBD" w14:textId="77777777" w:rsidR="00256CA6" w:rsidRPr="00DF2E95" w:rsidRDefault="00256CA6" w:rsidP="00256CA6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14:paraId="1FB71BB9" w14:textId="77777777" w:rsidR="00256CA6" w:rsidRPr="00DF2E95" w:rsidRDefault="00256CA6" w:rsidP="00256CA6">
      <w:pPr>
        <w:jc w:val="right"/>
        <w:rPr>
          <w:color w:val="5F497A" w:themeColor="accent4" w:themeShade="BF"/>
        </w:rPr>
      </w:pPr>
      <w:r w:rsidRPr="00B25853">
        <w:rPr>
          <w:color w:val="5F497A" w:themeColor="accent4" w:themeShade="BF"/>
        </w:rPr>
        <w:t xml:space="preserve">Charitable </w:t>
      </w:r>
      <w:r w:rsidR="008430EE" w:rsidRPr="00B25853">
        <w:rPr>
          <w:color w:val="5F497A" w:themeColor="accent4" w:themeShade="BF"/>
        </w:rPr>
        <w:t>Incorporated</w:t>
      </w:r>
      <w:r w:rsidR="008430EE">
        <w:rPr>
          <w:color w:val="5F497A" w:themeColor="accent4" w:themeShade="BF"/>
        </w:rPr>
        <w:t xml:space="preserve"> </w:t>
      </w:r>
      <w:r w:rsidRPr="00DF2E95">
        <w:rPr>
          <w:color w:val="5F497A" w:themeColor="accent4" w:themeShade="BF"/>
        </w:rPr>
        <w:t>Organisation No.1154785</w:t>
      </w:r>
    </w:p>
    <w:p w14:paraId="4EAF529C" w14:textId="77777777" w:rsidR="00256CA6" w:rsidRDefault="00256CA6" w:rsidP="00256CA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3"/>
        <w:gridCol w:w="7165"/>
      </w:tblGrid>
      <w:tr w:rsidR="00256CA6" w:rsidRPr="00865B98" w14:paraId="5026BB9A" w14:textId="77777777">
        <w:tc>
          <w:tcPr>
            <w:tcW w:w="1951" w:type="dxa"/>
          </w:tcPr>
          <w:p w14:paraId="370112AC" w14:textId="77777777" w:rsidR="00256CA6" w:rsidRDefault="00256CA6">
            <w:pPr>
              <w:rPr>
                <w:sz w:val="24"/>
                <w:lang w:val="en-GB"/>
              </w:rPr>
            </w:pPr>
          </w:p>
          <w:p w14:paraId="3F362ED2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14:paraId="1CAEFC11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0008E07C" w14:textId="11B7F11E" w:rsidR="00256CA6" w:rsidRPr="00865B98" w:rsidRDefault="00256CA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</w:t>
            </w:r>
            <w:r w:rsidR="00F60FD2">
              <w:rPr>
                <w:sz w:val="24"/>
                <w:lang w:val="en-GB"/>
              </w:rPr>
              <w:t>02</w:t>
            </w:r>
          </w:p>
          <w:p w14:paraId="6F98B362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1B722021" w14:textId="77777777">
        <w:tc>
          <w:tcPr>
            <w:tcW w:w="1951" w:type="dxa"/>
          </w:tcPr>
          <w:p w14:paraId="78F7D3F1" w14:textId="77777777" w:rsidR="00256CA6" w:rsidRDefault="00256CA6">
            <w:pPr>
              <w:rPr>
                <w:sz w:val="24"/>
                <w:lang w:val="en-GB"/>
              </w:rPr>
            </w:pPr>
          </w:p>
          <w:p w14:paraId="568AABF3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897" w:type="dxa"/>
          </w:tcPr>
          <w:p w14:paraId="20F37C98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FF9B9A" w14:textId="5F11B527" w:rsidR="00256CA6" w:rsidRPr="00865B98" w:rsidRDefault="00F60FD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FINANCIAL CONTROLS</w:t>
            </w:r>
            <w:r w:rsidR="009F643F">
              <w:rPr>
                <w:sz w:val="24"/>
                <w:lang w:val="en-GB"/>
              </w:rPr>
              <w:t xml:space="preserve"> POLICY</w:t>
            </w:r>
          </w:p>
          <w:p w14:paraId="64012841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2E8532F8" w14:textId="77777777">
        <w:tc>
          <w:tcPr>
            <w:tcW w:w="1951" w:type="dxa"/>
          </w:tcPr>
          <w:p w14:paraId="044755A7" w14:textId="77777777" w:rsidR="00256CA6" w:rsidRDefault="00256CA6">
            <w:pPr>
              <w:rPr>
                <w:sz w:val="24"/>
                <w:lang w:val="en-GB"/>
              </w:rPr>
            </w:pPr>
          </w:p>
          <w:p w14:paraId="3FAD9BF8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14:paraId="02454AB2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4F3AB9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14:paraId="758C9D8D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</w:p>
        </w:tc>
      </w:tr>
      <w:tr w:rsidR="00256CA6" w:rsidRPr="00865B98" w14:paraId="5619F57A" w14:textId="77777777">
        <w:tc>
          <w:tcPr>
            <w:tcW w:w="1951" w:type="dxa"/>
          </w:tcPr>
          <w:p w14:paraId="47011A9A" w14:textId="77777777" w:rsidR="00256CA6" w:rsidRDefault="00256CA6">
            <w:pPr>
              <w:rPr>
                <w:sz w:val="24"/>
                <w:lang w:val="en-GB"/>
              </w:rPr>
            </w:pPr>
          </w:p>
          <w:p w14:paraId="10665CDE" w14:textId="77777777" w:rsidR="00256CA6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14:paraId="420558BC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622A04F4" w14:textId="77777777" w:rsidR="003D7B96" w:rsidRPr="00E97B41" w:rsidRDefault="003D7B96">
            <w:pPr>
              <w:rPr>
                <w:b w:val="0"/>
                <w:bCs/>
                <w:sz w:val="24"/>
                <w:lang w:val="en-GB"/>
              </w:rPr>
            </w:pPr>
          </w:p>
          <w:p w14:paraId="57CF4603" w14:textId="77777777" w:rsidR="002B0DD0" w:rsidRDefault="007E68E8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  <w:r w:rsidRPr="007E68E8">
              <w:rPr>
                <w:rFonts w:cs="Arial"/>
                <w:b w:val="0"/>
                <w:bCs/>
                <w:sz w:val="24"/>
                <w:szCs w:val="22"/>
              </w:rPr>
              <w:t xml:space="preserve">This policy applies to all trustees, other volunteers, employees, contractors, and third-party representatives of our charity.  Its requirements should be reflected in other policies and procedures, agreements and contracts, as necessary. </w:t>
            </w:r>
          </w:p>
          <w:p w14:paraId="4ECE2979" w14:textId="4F8F9DEF" w:rsidR="007E68E8" w:rsidRPr="002B0DD0" w:rsidRDefault="007E68E8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</w:tc>
      </w:tr>
      <w:tr w:rsidR="00256CA6" w:rsidRPr="00865B98" w14:paraId="4E1E1834" w14:textId="77777777">
        <w:tc>
          <w:tcPr>
            <w:tcW w:w="1951" w:type="dxa"/>
          </w:tcPr>
          <w:p w14:paraId="3CEB2016" w14:textId="77777777" w:rsidR="00256CA6" w:rsidRDefault="00256CA6">
            <w:pPr>
              <w:rPr>
                <w:sz w:val="24"/>
                <w:lang w:val="en-GB"/>
              </w:rPr>
            </w:pPr>
          </w:p>
          <w:p w14:paraId="233AD2DF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14:paraId="22B8778D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1F636892" w14:textId="77777777" w:rsidR="007E68E8" w:rsidRDefault="007E68E8" w:rsidP="007E68E8">
            <w:pPr>
              <w:rPr>
                <w:bCs/>
                <w:sz w:val="24"/>
                <w:lang w:val="en-GB"/>
              </w:rPr>
            </w:pPr>
          </w:p>
          <w:p w14:paraId="3648B50C" w14:textId="654EE992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Separation of Duties</w:t>
            </w:r>
          </w:p>
          <w:p w14:paraId="7188BACE" w14:textId="23F5F8F4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No one person may both authorise and pay any payment or transfer.  For example, an on-line banking payment.  </w:t>
            </w:r>
          </w:p>
          <w:p w14:paraId="25735491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  </w:t>
            </w:r>
          </w:p>
          <w:p w14:paraId="54800F86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Conflict of Interest</w:t>
            </w:r>
          </w:p>
          <w:p w14:paraId="6DFB9DA2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No individual may:</w:t>
            </w:r>
          </w:p>
          <w:p w14:paraId="67BC3A6F" w14:textId="37C0A84C" w:rsidR="007E68E8" w:rsidRPr="007E68E8" w:rsidRDefault="007E68E8" w:rsidP="007E68E8">
            <w:pPr>
              <w:pStyle w:val="ListParagraph"/>
              <w:numPr>
                <w:ilvl w:val="0"/>
                <w:numId w:val="12"/>
              </w:num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Make payments or enter into contracts with family members or organisations in which they have an interest, either directly or through a close family member.</w:t>
            </w:r>
          </w:p>
          <w:p w14:paraId="3B1A9A9A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06A9DD77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Contracting</w:t>
            </w:r>
          </w:p>
          <w:p w14:paraId="04DCD415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A robust contracting process is to be implemented with major contracts openly tendered, subject to board scrutiny and approval, and retendered every 3 to 5 years.   Contracts and other agreements should be recorded in a simple contracts register and each reviewed annually to ensure these continue to meet the charity’s needs and offer good value for money.  </w:t>
            </w:r>
          </w:p>
          <w:p w14:paraId="26C0EC3E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5233CC5B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Budgeting</w:t>
            </w:r>
          </w:p>
          <w:p w14:paraId="6026EE16" w14:textId="1C83AB30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The Board is to scrutinise and approve an annual budget.  The budget should include prudent income forecasts that have been tested to confirm that there is a reasonable expectation of securing the funding planned for.</w:t>
            </w:r>
          </w:p>
          <w:p w14:paraId="50889F47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2453461B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Financial Reporting</w:t>
            </w:r>
          </w:p>
          <w:p w14:paraId="26DC1817" w14:textId="3E6AECDA" w:rsidR="007E68E8" w:rsidRDefault="007E68E8" w:rsidP="007E68E8">
            <w:p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Up to date financial reports should be submitted to the Board regularly.  Reports should use simple clear English that all board </w:t>
            </w:r>
            <w:r w:rsidRPr="007E68E8">
              <w:rPr>
                <w:b w:val="0"/>
                <w:sz w:val="24"/>
                <w:lang w:val="en-GB"/>
              </w:rPr>
              <w:lastRenderedPageBreak/>
              <w:t>members will be able to understand and</w:t>
            </w:r>
            <w:r>
              <w:rPr>
                <w:b w:val="0"/>
                <w:sz w:val="24"/>
                <w:lang w:val="en-GB"/>
              </w:rPr>
              <w:t>:</w:t>
            </w:r>
          </w:p>
          <w:p w14:paraId="0B5380B5" w14:textId="77777777" w:rsidR="007E68E8" w:rsidRDefault="007E68E8" w:rsidP="007E68E8">
            <w:pPr>
              <w:pStyle w:val="ListParagraph"/>
              <w:numPr>
                <w:ilvl w:val="0"/>
                <w:numId w:val="13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Explain the charity’s current and likely future financial position.</w:t>
            </w:r>
          </w:p>
          <w:p w14:paraId="4227A935" w14:textId="77777777" w:rsidR="007E68E8" w:rsidRDefault="007E68E8" w:rsidP="007E68E8">
            <w:pPr>
              <w:pStyle w:val="ListParagraph"/>
              <w:numPr>
                <w:ilvl w:val="0"/>
                <w:numId w:val="13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Focus on the key issues and risks, the action being taken to address these and the expected outcome.  </w:t>
            </w:r>
          </w:p>
          <w:p w14:paraId="218CC358" w14:textId="0823029B" w:rsidR="007E68E8" w:rsidRPr="007E68E8" w:rsidRDefault="007E68E8" w:rsidP="007E68E8">
            <w:pPr>
              <w:pStyle w:val="ListParagraph"/>
              <w:numPr>
                <w:ilvl w:val="0"/>
                <w:numId w:val="13"/>
              </w:num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Highlight any significant deviations from budget or funding shortfalls. </w:t>
            </w:r>
          </w:p>
          <w:p w14:paraId="302EC815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0DBEA18D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Financial Management</w:t>
            </w:r>
          </w:p>
          <w:p w14:paraId="24F6F4BB" w14:textId="72D8730B" w:rsidR="007E68E8" w:rsidRPr="007E68E8" w:rsidRDefault="00DE6935" w:rsidP="007E68E8">
            <w:pPr>
              <w:spacing w:after="0"/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All trustees</w:t>
            </w:r>
            <w:r w:rsidR="007E68E8" w:rsidRPr="007E68E8">
              <w:rPr>
                <w:b w:val="0"/>
                <w:sz w:val="24"/>
                <w:lang w:val="en-GB"/>
              </w:rPr>
              <w:t xml:space="preserve"> are to review financial reports, investigate any variances to budget/forecast and unusual or unexpected transactions that cannot be adequately explained and take appropriate action.   </w:t>
            </w:r>
          </w:p>
          <w:p w14:paraId="311780ED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6DB9D983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 xml:space="preserve">Cash </w:t>
            </w:r>
          </w:p>
          <w:p w14:paraId="13CC63EA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Cash is secured under lock and key.</w:t>
            </w:r>
          </w:p>
          <w:p w14:paraId="5FFA4C87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Access is restricted to those who need access.  </w:t>
            </w:r>
          </w:p>
          <w:p w14:paraId="7AD04AB8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A cash limit is set that is within the insurance limit.</w:t>
            </w:r>
          </w:p>
          <w:p w14:paraId="4A8EF46F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Cash is not sent through the post.</w:t>
            </w:r>
          </w:p>
          <w:p w14:paraId="7773856A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Cash and cheques are banked regularly, particularly if significant sums of cash are received. </w:t>
            </w:r>
          </w:p>
          <w:p w14:paraId="360F2AA5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Cash is banked ‘gross’ – that is income is not netted off against other expenditure.  All transactions must be recorded</w:t>
            </w:r>
            <w:r w:rsidRPr="007E68E8">
              <w:rPr>
                <w:b w:val="0"/>
                <w:sz w:val="24"/>
                <w:lang w:val="en-GB"/>
              </w:rPr>
              <w:t>.</w:t>
            </w:r>
          </w:p>
          <w:p w14:paraId="145F6FEA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Cash is kept separate from personal money and is never used for personal expenditure. </w:t>
            </w:r>
          </w:p>
          <w:p w14:paraId="78D6EC63" w14:textId="77777777" w:rsidR="007E68E8" w:rsidRDefault="007E68E8" w:rsidP="007E68E8">
            <w:pPr>
              <w:pStyle w:val="ListParagraph"/>
              <w:numPr>
                <w:ilvl w:val="0"/>
                <w:numId w:val="14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Where significant sums are to be banked, two individuals escort the money and it is transported by car, not on foot.  In the event of a robbery, the money is to be handed over without resistance.</w:t>
            </w:r>
          </w:p>
          <w:p w14:paraId="319184B6" w14:textId="68378E32" w:rsidR="007E68E8" w:rsidRPr="007E68E8" w:rsidRDefault="007E68E8" w:rsidP="007E68E8">
            <w:pPr>
              <w:pStyle w:val="ListParagraph"/>
              <w:numPr>
                <w:ilvl w:val="0"/>
                <w:numId w:val="14"/>
              </w:num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Cash payments are avoided wherever possible.</w:t>
            </w:r>
          </w:p>
          <w:p w14:paraId="369D05CC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</w:p>
          <w:p w14:paraId="40F4281E" w14:textId="77777777" w:rsidR="007E68E8" w:rsidRPr="007E68E8" w:rsidRDefault="007E68E8" w:rsidP="007E68E8">
            <w:pPr>
              <w:spacing w:after="0"/>
              <w:rPr>
                <w:bCs/>
                <w:sz w:val="24"/>
                <w:lang w:val="en-GB"/>
              </w:rPr>
            </w:pPr>
            <w:r w:rsidRPr="007E68E8">
              <w:rPr>
                <w:bCs/>
                <w:sz w:val="24"/>
                <w:lang w:val="en-GB"/>
              </w:rPr>
              <w:t>Banking</w:t>
            </w:r>
          </w:p>
          <w:p w14:paraId="1E6DD111" w14:textId="77777777" w:rsidR="007E68E8" w:rsidRPr="007E68E8" w:rsidRDefault="007E68E8" w:rsidP="007E68E8">
            <w:p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Bank Accounts.  Bank, savings and any other form of investment are only to be opened with the written approval of the Board.</w:t>
            </w:r>
          </w:p>
          <w:p w14:paraId="157D141A" w14:textId="77777777" w:rsidR="007E68E8" w:rsidRDefault="007E68E8" w:rsidP="007E68E8">
            <w:pPr>
              <w:pStyle w:val="ListParagraph"/>
              <w:numPr>
                <w:ilvl w:val="0"/>
                <w:numId w:val="16"/>
              </w:num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The account is to be reconciled at least monthly.  </w:t>
            </w:r>
          </w:p>
          <w:p w14:paraId="4B9E9805" w14:textId="18CD4281" w:rsidR="007E68E8" w:rsidRPr="007E68E8" w:rsidRDefault="007E68E8" w:rsidP="007E68E8">
            <w:pPr>
              <w:pStyle w:val="ListParagraph"/>
              <w:numPr>
                <w:ilvl w:val="0"/>
                <w:numId w:val="16"/>
              </w:numPr>
              <w:spacing w:after="0"/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>The bank reconciliation, statement, cashbook, chequebook and any other supporting documentation are cross checked.</w:t>
            </w:r>
          </w:p>
          <w:p w14:paraId="70017C8F" w14:textId="539D5878" w:rsidR="003355BA" w:rsidRDefault="007E68E8" w:rsidP="007E68E8">
            <w:pPr>
              <w:rPr>
                <w:b w:val="0"/>
                <w:sz w:val="24"/>
                <w:lang w:val="en-GB"/>
              </w:rPr>
            </w:pPr>
            <w:r w:rsidRPr="007E68E8">
              <w:rPr>
                <w:b w:val="0"/>
                <w:sz w:val="24"/>
                <w:lang w:val="en-GB"/>
              </w:rPr>
              <w:t xml:space="preserve">Bank mandates, account signatories and e-banking access are to be kept up-to-date and individuals may only be added with the written approval of the </w:t>
            </w:r>
            <w:r w:rsidR="00DE6935">
              <w:rPr>
                <w:b w:val="0"/>
                <w:sz w:val="24"/>
                <w:lang w:val="en-GB"/>
              </w:rPr>
              <w:t>Trustees</w:t>
            </w:r>
            <w:r w:rsidRPr="007E68E8">
              <w:rPr>
                <w:b w:val="0"/>
                <w:sz w:val="24"/>
                <w:lang w:val="en-GB"/>
              </w:rPr>
              <w:t>.  The list of people with access and their access levels are to be reviewed annually, as part of the audit preparation process.</w:t>
            </w:r>
          </w:p>
          <w:p w14:paraId="20236167" w14:textId="77777777" w:rsidR="00DE6935" w:rsidRDefault="00DE6935" w:rsidP="007E68E8">
            <w:pPr>
              <w:rPr>
                <w:b w:val="0"/>
                <w:sz w:val="24"/>
                <w:lang w:val="en-GB"/>
              </w:rPr>
            </w:pPr>
          </w:p>
          <w:p w14:paraId="47F915B8" w14:textId="77777777" w:rsidR="00DE6935" w:rsidRPr="00DE6935" w:rsidRDefault="00DE6935" w:rsidP="00DE6935">
            <w:pPr>
              <w:spacing w:after="0"/>
              <w:rPr>
                <w:bCs/>
                <w:sz w:val="24"/>
                <w:lang w:val="en-GB"/>
              </w:rPr>
            </w:pPr>
            <w:r w:rsidRPr="00DE6935">
              <w:rPr>
                <w:bCs/>
                <w:sz w:val="24"/>
                <w:lang w:val="en-GB"/>
              </w:rPr>
              <w:t>Income</w:t>
            </w:r>
          </w:p>
          <w:p w14:paraId="0CDBA5D6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>Regular checks are to be carried out to ensure that records are being accurately maintained and that there are no discrepancies in the accounting records.</w:t>
            </w:r>
          </w:p>
          <w:p w14:paraId="49F21E06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>Restricted funds are to be accounted for separately to ensure these are only used in accordance with donors’ restrictions</w:t>
            </w:r>
            <w:r>
              <w:rPr>
                <w:b w:val="0"/>
                <w:sz w:val="24"/>
                <w:lang w:val="en-GB"/>
              </w:rPr>
              <w:t>.</w:t>
            </w:r>
          </w:p>
          <w:p w14:paraId="2B10DC63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</w:p>
          <w:p w14:paraId="37FBC6DB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lastRenderedPageBreak/>
              <w:t>Expenditure</w:t>
            </w:r>
          </w:p>
          <w:p w14:paraId="09008125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>All expenditure must be properly authorised, represent good value for money and be on appropriate items or services</w:t>
            </w:r>
            <w:r>
              <w:rPr>
                <w:b w:val="0"/>
                <w:sz w:val="24"/>
                <w:lang w:val="en-GB"/>
              </w:rPr>
              <w:t>. Two trustees must authorise every transaction.</w:t>
            </w:r>
          </w:p>
          <w:p w14:paraId="537C1101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</w:p>
          <w:p w14:paraId="67046D7B" w14:textId="77777777" w:rsidR="00DE6935" w:rsidRDefault="00DE6935" w:rsidP="00DE6935">
            <w:pPr>
              <w:rPr>
                <w:b w:val="0"/>
                <w:sz w:val="24"/>
                <w:lang w:val="en-GB"/>
              </w:rPr>
            </w:pPr>
            <w:r>
              <w:rPr>
                <w:bCs/>
                <w:sz w:val="24"/>
                <w:lang w:val="en-GB"/>
              </w:rPr>
              <w:t>Assets</w:t>
            </w:r>
          </w:p>
          <w:p w14:paraId="653BC48A" w14:textId="77777777" w:rsidR="00DE6935" w:rsidRDefault="00DE6935" w:rsidP="00DE6935">
            <w:pPr>
              <w:pStyle w:val="ListParagraph"/>
              <w:numPr>
                <w:ilvl w:val="0"/>
                <w:numId w:val="16"/>
              </w:num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 xml:space="preserve">A fixed asset register is maintained and reviewed annually. </w:t>
            </w:r>
          </w:p>
          <w:p w14:paraId="0E632018" w14:textId="77777777" w:rsidR="00DE6935" w:rsidRDefault="00DE6935" w:rsidP="00DE6935">
            <w:pPr>
              <w:pStyle w:val="ListParagraph"/>
              <w:numPr>
                <w:ilvl w:val="0"/>
                <w:numId w:val="16"/>
              </w:num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 xml:space="preserve">Subsequent to the annual review, insurance cover is reviewed to prevent being under or over insured. </w:t>
            </w:r>
          </w:p>
          <w:p w14:paraId="4CF9403A" w14:textId="77777777" w:rsidR="00DE6935" w:rsidRDefault="00DE6935" w:rsidP="00DE6935">
            <w:pPr>
              <w:pStyle w:val="ListParagraph"/>
              <w:numPr>
                <w:ilvl w:val="0"/>
                <w:numId w:val="16"/>
              </w:numPr>
              <w:rPr>
                <w:b w:val="0"/>
                <w:sz w:val="24"/>
                <w:lang w:val="en-GB"/>
              </w:rPr>
            </w:pPr>
            <w:r w:rsidRPr="00DE6935">
              <w:rPr>
                <w:b w:val="0"/>
                <w:sz w:val="24"/>
                <w:lang w:val="en-GB"/>
              </w:rPr>
              <w:t>Staff do not remove assets or items of equipment without prior approval.</w:t>
            </w:r>
          </w:p>
          <w:p w14:paraId="6CF6AB7F" w14:textId="0BD2F03E" w:rsidR="00DE6935" w:rsidRPr="00DE6935" w:rsidRDefault="00DE6935" w:rsidP="00DE6935">
            <w:pPr>
              <w:rPr>
                <w:b w:val="0"/>
                <w:sz w:val="24"/>
                <w:lang w:val="en-GB"/>
              </w:rPr>
            </w:pPr>
          </w:p>
        </w:tc>
      </w:tr>
      <w:tr w:rsidR="00256CA6" w:rsidRPr="00865B98" w14:paraId="6F0FDE6E" w14:textId="77777777">
        <w:tc>
          <w:tcPr>
            <w:tcW w:w="1951" w:type="dxa"/>
          </w:tcPr>
          <w:p w14:paraId="73936079" w14:textId="77777777" w:rsidR="00256CA6" w:rsidRPr="009C4036" w:rsidRDefault="00256CA6" w:rsidP="003D7B96"/>
          <w:p w14:paraId="77E8FD23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14:paraId="4044193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0F88CD78" w14:textId="77777777" w:rsidR="00256CA6" w:rsidRDefault="00256CA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14:paraId="0E3F30B1" w14:textId="75DA0BD8" w:rsidR="003D7B96" w:rsidRDefault="003D7B9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Trustees will be provided with a copy of this policy during induction.</w:t>
            </w:r>
          </w:p>
          <w:p w14:paraId="293B9D57" w14:textId="77777777" w:rsidR="00256CA6" w:rsidRPr="00865B98" w:rsidRDefault="00256CA6" w:rsidP="003D7B96">
            <w:pPr>
              <w:pStyle w:val="NormalWeb"/>
              <w:spacing w:before="0" w:beforeAutospacing="0" w:after="0" w:afterAutospacing="0"/>
            </w:pPr>
          </w:p>
        </w:tc>
      </w:tr>
      <w:tr w:rsidR="00256CA6" w:rsidRPr="00865B98" w14:paraId="4F28B30B" w14:textId="77777777">
        <w:tc>
          <w:tcPr>
            <w:tcW w:w="1951" w:type="dxa"/>
          </w:tcPr>
          <w:p w14:paraId="4ED51B45" w14:textId="77777777" w:rsidR="00256CA6" w:rsidRDefault="00256CA6">
            <w:pPr>
              <w:rPr>
                <w:sz w:val="24"/>
                <w:lang w:val="en-GB"/>
              </w:rPr>
            </w:pPr>
          </w:p>
          <w:p w14:paraId="608402E7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14:paraId="437033C8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427F4DA8" w14:textId="77777777" w:rsidR="00256CA6" w:rsidRDefault="00256CA6">
            <w:pPr>
              <w:rPr>
                <w:sz w:val="24"/>
                <w:lang w:val="en-GB"/>
              </w:rPr>
            </w:pPr>
          </w:p>
          <w:p w14:paraId="28D3033E" w14:textId="77777777" w:rsidR="00256CA6" w:rsidRPr="00865B98" w:rsidRDefault="003D7B96" w:rsidP="003D7B96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As appropriate.</w:t>
            </w:r>
          </w:p>
          <w:p w14:paraId="423039DD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</w:p>
        </w:tc>
      </w:tr>
      <w:tr w:rsidR="00256CA6" w:rsidRPr="00865B98" w14:paraId="607D3C92" w14:textId="77777777">
        <w:tc>
          <w:tcPr>
            <w:tcW w:w="1951" w:type="dxa"/>
          </w:tcPr>
          <w:p w14:paraId="67698C14" w14:textId="77777777" w:rsidR="00256CA6" w:rsidRDefault="00256CA6">
            <w:pPr>
              <w:rPr>
                <w:sz w:val="24"/>
                <w:lang w:val="en-GB"/>
              </w:rPr>
            </w:pPr>
          </w:p>
          <w:p w14:paraId="572FC85C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  <w:p w14:paraId="5F265D3E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5DD3FBF9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2876613D" w14:textId="1B331EDF" w:rsidR="00256CA6" w:rsidRPr="00865B98" w:rsidRDefault="00586294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4</w:t>
            </w:r>
            <w:r w:rsidRPr="00586294">
              <w:rPr>
                <w:b w:val="0"/>
                <w:sz w:val="24"/>
                <w:vertAlign w:val="superscript"/>
                <w:lang w:val="en-GB"/>
              </w:rPr>
              <w:t>th</w:t>
            </w:r>
            <w:r>
              <w:rPr>
                <w:b w:val="0"/>
                <w:sz w:val="24"/>
                <w:lang w:val="en-GB"/>
              </w:rPr>
              <w:t xml:space="preserve"> November, 2023</w:t>
            </w:r>
          </w:p>
        </w:tc>
      </w:tr>
      <w:tr w:rsidR="00256CA6" w:rsidRPr="009C4036" w14:paraId="17B18E7E" w14:textId="77777777">
        <w:tc>
          <w:tcPr>
            <w:tcW w:w="1951" w:type="dxa"/>
          </w:tcPr>
          <w:p w14:paraId="3F899DF5" w14:textId="77777777" w:rsidR="00256CA6" w:rsidRDefault="00256CA6">
            <w:pPr>
              <w:rPr>
                <w:sz w:val="24"/>
                <w:lang w:val="en-GB"/>
              </w:rPr>
            </w:pPr>
          </w:p>
          <w:p w14:paraId="1D7D8F95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  <w:p w14:paraId="74F9F6D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34802473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303110A" w14:textId="77777777" w:rsidR="00256CA6" w:rsidRPr="009C4036" w:rsidRDefault="00256CA6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 </w:t>
            </w:r>
          </w:p>
        </w:tc>
      </w:tr>
    </w:tbl>
    <w:p w14:paraId="11B433CB" w14:textId="77777777" w:rsidR="003D7B96" w:rsidRDefault="003D7B96" w:rsidP="00256CA6"/>
    <w:sectPr w:rsidR="003D7B96" w:rsidSect="003D7B96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519"/>
    <w:multiLevelType w:val="hybridMultilevel"/>
    <w:tmpl w:val="349A7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8671F"/>
    <w:multiLevelType w:val="hybridMultilevel"/>
    <w:tmpl w:val="B966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69C"/>
    <w:multiLevelType w:val="hybridMultilevel"/>
    <w:tmpl w:val="1E8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232B"/>
    <w:multiLevelType w:val="hybridMultilevel"/>
    <w:tmpl w:val="E020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09FC"/>
    <w:multiLevelType w:val="hybridMultilevel"/>
    <w:tmpl w:val="7E1A0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284E"/>
    <w:multiLevelType w:val="hybridMultilevel"/>
    <w:tmpl w:val="FE7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1E76"/>
    <w:multiLevelType w:val="hybridMultilevel"/>
    <w:tmpl w:val="AC78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02B6"/>
    <w:multiLevelType w:val="hybridMultilevel"/>
    <w:tmpl w:val="6028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50334"/>
    <w:multiLevelType w:val="hybridMultilevel"/>
    <w:tmpl w:val="30220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B3"/>
    <w:multiLevelType w:val="hybridMultilevel"/>
    <w:tmpl w:val="37A8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6AF6"/>
    <w:multiLevelType w:val="hybridMultilevel"/>
    <w:tmpl w:val="798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92A99"/>
    <w:multiLevelType w:val="hybridMultilevel"/>
    <w:tmpl w:val="87CE5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6082"/>
    <w:multiLevelType w:val="hybridMultilevel"/>
    <w:tmpl w:val="EF006BB4"/>
    <w:lvl w:ilvl="0" w:tplc="92B4AE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1429"/>
    <w:multiLevelType w:val="hybridMultilevel"/>
    <w:tmpl w:val="3A7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36F4"/>
    <w:multiLevelType w:val="hybridMultilevel"/>
    <w:tmpl w:val="C108F150"/>
    <w:lvl w:ilvl="0" w:tplc="92B4AE5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6B33"/>
    <w:multiLevelType w:val="hybridMultilevel"/>
    <w:tmpl w:val="994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586">
    <w:abstractNumId w:val="13"/>
  </w:num>
  <w:num w:numId="2" w16cid:durableId="1119643790">
    <w:abstractNumId w:val="4"/>
  </w:num>
  <w:num w:numId="3" w16cid:durableId="871040135">
    <w:abstractNumId w:val="0"/>
  </w:num>
  <w:num w:numId="4" w16cid:durableId="345061565">
    <w:abstractNumId w:val="16"/>
  </w:num>
  <w:num w:numId="5" w16cid:durableId="1953857051">
    <w:abstractNumId w:val="3"/>
  </w:num>
  <w:num w:numId="6" w16cid:durableId="1789395751">
    <w:abstractNumId w:val="8"/>
  </w:num>
  <w:num w:numId="7" w16cid:durableId="859202981">
    <w:abstractNumId w:val="11"/>
  </w:num>
  <w:num w:numId="8" w16cid:durableId="2048020639">
    <w:abstractNumId w:val="5"/>
  </w:num>
  <w:num w:numId="9" w16cid:durableId="1553420363">
    <w:abstractNumId w:val="2"/>
  </w:num>
  <w:num w:numId="10" w16cid:durableId="2039626106">
    <w:abstractNumId w:val="9"/>
  </w:num>
  <w:num w:numId="11" w16cid:durableId="2095393869">
    <w:abstractNumId w:val="10"/>
  </w:num>
  <w:num w:numId="12" w16cid:durableId="264384148">
    <w:abstractNumId w:val="6"/>
  </w:num>
  <w:num w:numId="13" w16cid:durableId="1240871022">
    <w:abstractNumId w:val="7"/>
  </w:num>
  <w:num w:numId="14" w16cid:durableId="1551266436">
    <w:abstractNumId w:val="14"/>
  </w:num>
  <w:num w:numId="15" w16cid:durableId="2018725112">
    <w:abstractNumId w:val="1"/>
  </w:num>
  <w:num w:numId="16" w16cid:durableId="581723871">
    <w:abstractNumId w:val="12"/>
  </w:num>
  <w:num w:numId="17" w16cid:durableId="133842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A6"/>
    <w:rsid w:val="00151C6E"/>
    <w:rsid w:val="00256CA6"/>
    <w:rsid w:val="002B0DD0"/>
    <w:rsid w:val="00314B59"/>
    <w:rsid w:val="003355BA"/>
    <w:rsid w:val="003D7B96"/>
    <w:rsid w:val="00586294"/>
    <w:rsid w:val="00661380"/>
    <w:rsid w:val="007E68E8"/>
    <w:rsid w:val="008430EE"/>
    <w:rsid w:val="00895B36"/>
    <w:rsid w:val="009F643F"/>
    <w:rsid w:val="00B25853"/>
    <w:rsid w:val="00B3173B"/>
    <w:rsid w:val="00DE6935"/>
    <w:rsid w:val="00E97B41"/>
    <w:rsid w:val="00F60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4604"/>
  <w15:docId w15:val="{FEB10D4D-6C9A-4913-A00A-8ED8BA3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A6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56CA6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56CA6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256CA6"/>
    <w:pPr>
      <w:ind w:left="720"/>
      <w:contextualSpacing/>
    </w:pPr>
  </w:style>
  <w:style w:type="paragraph" w:styleId="NormalWeb">
    <w:name w:val="Normal (Web)"/>
    <w:basedOn w:val="Normal"/>
    <w:rsid w:val="00256CA6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6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ArtEast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4</cp:revision>
  <dcterms:created xsi:type="dcterms:W3CDTF">2023-11-04T19:28:00Z</dcterms:created>
  <dcterms:modified xsi:type="dcterms:W3CDTF">2023-11-04T19:44:00Z</dcterms:modified>
</cp:coreProperties>
</file>